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color w:val="00000A"/>
        </w:rPr>
      </w:pPr>
      <w:r>
        <w:rPr>
          <w:color w:val="00000A"/>
        </w:rPr>
        <w:t>Пример оценочного средства</w:t>
      </w:r>
    </w:p>
    <w:p>
      <w:pPr>
        <w:pStyle w:val="Normal"/>
        <w:rPr/>
      </w:pPr>
      <w:r>
        <w:rPr>
          <w:b/>
        </w:rPr>
        <w:t xml:space="preserve">По квалификации: </w:t>
      </w:r>
      <w:r>
        <w:rPr>
          <w:b w:val="false"/>
          <w:bCs w:val="false"/>
        </w:rPr>
        <w:t>«</w:t>
      </w:r>
      <w:r>
        <w:rPr>
          <w:rFonts w:eastAsia="Andale Sans UI;Times New Roman" w:cs="Times New Roman"/>
          <w:b w:val="false"/>
          <w:bCs w:val="false"/>
          <w:i w:val="false"/>
          <w:iCs w:val="false"/>
          <w:sz w:val="22"/>
          <w:szCs w:val="22"/>
          <w:u w:val="none"/>
          <w:lang w:eastAsia="fa-IR" w:bidi="fa-IR"/>
        </w:rPr>
        <w:t>Специалист по организации эксплуатации лифтов</w:t>
      </w:r>
      <w:r>
        <w:rPr/>
        <w:t>»</w:t>
        <w:br/>
      </w:r>
      <w:r>
        <w:rPr>
          <w:b/>
          <w:bCs/>
        </w:rPr>
        <w:t xml:space="preserve">Уровень квалификации: </w:t>
      </w:r>
      <w:r>
        <w:rPr>
          <w:b w:val="false"/>
          <w:bCs w:val="false"/>
        </w:rPr>
        <w:t>«6</w:t>
      </w:r>
      <w:r>
        <w:rPr/>
        <w:t>»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Теоретический этап профессионального экзамена</w:t>
      </w:r>
    </w:p>
    <w:p>
      <w:pPr>
        <w:pStyle w:val="Normal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 выполнение теста отводится 30 мин.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spacing w:val="-1"/>
          <w:sz w:val="22"/>
          <w:szCs w:val="22"/>
          <w:lang w:val="en-US" w:eastAsia="ru-RU"/>
        </w:rPr>
        <w:t>Основная цель профессиональной деятельности специалиста по организации эксплуатации лифтового оборудования?</w:t>
      </w:r>
      <w:r>
        <w:rPr/>
        <w:br/>
        <w:br/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lang w:val="en-US" w:eastAsia="ru-RU"/>
        </w:rPr>
        <w:t>обеспечение безопасной эксплуатации лифтов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lang w:val="en-US" w:eastAsia="ru-RU"/>
        </w:rPr>
        <w:t>обеспечение безопасной эксплуатации, технического обслуживания лифтов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3"/>
          <w:sz w:val="22"/>
          <w:szCs w:val="22"/>
          <w:lang w:val="en-US" w:eastAsia="ru-RU"/>
        </w:rPr>
        <w:t>обеспечение безопасной эксплуатации, технического обслуживания и ремонта лифтов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/>
          <w:iCs w:val="false"/>
          <w:spacing w:val="-1"/>
          <w:sz w:val="22"/>
          <w:szCs w:val="22"/>
        </w:rPr>
        <w:t>Каким требованием является требование технического регламента: «Наличие визуальной информации в кабине  лифта и на основном посадочном (назначенном) этаже о местоположении кабины и направлении её движения»</w:t>
      </w:r>
      <w:r>
        <w:rPr>
          <w:b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Style w:val="Style15"/>
          <w:rFonts w:eastAsia="Times New Roman" w:cs="Times New Roman"/>
          <w:b w:val="false"/>
          <w:iCs/>
          <w:color w:val="00000A"/>
          <w:spacing w:val="-2"/>
          <w:sz w:val="22"/>
          <w:szCs w:val="22"/>
          <w:lang w:val="en-US" w:eastAsia="x-none"/>
        </w:rPr>
        <w:t>относится к общим требованиям, которые должны выполняться для обеспечения безопасности лифта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Style w:val="Style15"/>
          <w:rFonts w:eastAsia="Times New Roman" w:cs="Times New Roman"/>
          <w:b w:val="false"/>
          <w:iCs/>
          <w:color w:val="00000A"/>
          <w:spacing w:val="-2"/>
          <w:sz w:val="22"/>
          <w:szCs w:val="22"/>
          <w:lang w:val="en-US" w:eastAsia="x-none"/>
        </w:rPr>
        <w:t>является дополнительным требованием для обеспечения безопасности на лифте, обеспечивающем транспортирование пожарных</w:t>
      </w:r>
      <w:r>
        <w:rPr>
          <w:b w:val="false"/>
          <w:bCs w:val="false"/>
          <w:sz w:val="22"/>
          <w:szCs w:val="22"/>
        </w:rPr>
        <w:t>.</w:t>
        <w:br/>
        <w:t>- является специальным требованием для обеспечения безопасности на лифте, обеспечивающем транспортирование пожарных</w:t>
      </w:r>
      <w:r>
        <w:rPr>
          <w:rStyle w:val="Style15"/>
          <w:rFonts w:eastAsia="Times New Roman" w:cs="Times New Roman"/>
          <w:b w:val="false"/>
          <w:bCs/>
          <w:iCs/>
          <w:color w:val="00000A"/>
          <w:spacing w:val="-2"/>
          <w:sz w:val="22"/>
          <w:szCs w:val="22"/>
          <w:lang w:val="en-US" w:eastAsia="x-none"/>
        </w:rPr>
        <w:t>"</w:t>
      </w:r>
      <w:r>
        <w:rPr>
          <w:b w:val="false"/>
          <w:bCs w:val="false"/>
          <w:sz w:val="22"/>
          <w:szCs w:val="22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bCs/>
          <w:i/>
          <w:iCs w:val="false"/>
          <w:sz w:val="22"/>
          <w:szCs w:val="22"/>
        </w:rPr>
        <w:t>Система управления лифта, предназначенная для подключения к устройству диспетчерского контроля, должна предусматривать возможность снятия сигнала с целью передачи от лифта к устройству диспетчерского контроля информации:</w:t>
      </w:r>
      <w:r>
        <w:rPr>
          <w:b/>
        </w:rPr>
        <w:br/>
        <w:br/>
        <w:br/>
      </w:r>
      <w:r>
        <w:rPr>
          <w:sz w:val="22"/>
          <w:szCs w:val="22"/>
        </w:rPr>
        <w:t xml:space="preserve">- </w:t>
      </w:r>
      <w:r>
        <w:rPr>
          <w:rFonts w:cs="Times New Roman"/>
          <w:spacing w:val="-1"/>
          <w:sz w:val="22"/>
          <w:szCs w:val="22"/>
          <w:lang w:eastAsia="ru-RU"/>
        </w:rPr>
        <w:t>о несанкционированном открывании дверей шахты в режиме «нормальной работы»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spacing w:val="-1"/>
          <w:sz w:val="22"/>
          <w:szCs w:val="22"/>
          <w:lang w:eastAsia="ru-RU"/>
        </w:rPr>
        <w:t xml:space="preserve">о нахождении кабины в зоне </w:t>
      </w:r>
      <w:r>
        <w:rPr>
          <w:rFonts w:cs="Times New Roman"/>
          <w:bCs/>
          <w:iCs/>
          <w:spacing w:val="-1"/>
          <w:sz w:val="22"/>
          <w:szCs w:val="22"/>
          <w:lang w:eastAsia="ru-RU"/>
        </w:rPr>
        <w:t xml:space="preserve"> отпирания дверей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bCs/>
          <w:iCs/>
          <w:spacing w:val="-1"/>
          <w:sz w:val="22"/>
          <w:szCs w:val="22"/>
          <w:lang w:eastAsia="ru-RU"/>
        </w:rPr>
        <w:t>о перегрузке кабины при размещении в ней груза, массой, превышающей номинальную грузоподъемность лифта на 10%, но не менее чем на 75 кг, во всех режимах работы</w:t>
      </w:r>
      <w:r>
        <w:rPr>
          <w:iCs/>
          <w:sz w:val="22"/>
          <w:szCs w:val="22"/>
          <w:lang w:eastAsia="x-none"/>
        </w:rPr>
        <w:t>.</w:t>
      </w:r>
      <w:r>
        <w:rPr>
          <w:sz w:val="22"/>
          <w:szCs w:val="22"/>
        </w:rPr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NimbusSanL-Regu" w:cs="Times New Roman"/>
          <w:b/>
          <w:bCs/>
          <w:i w:val="false"/>
          <w:iCs w:val="false"/>
          <w:spacing w:val="-1"/>
          <w:sz w:val="22"/>
          <w:szCs w:val="22"/>
          <w:lang w:eastAsia="ru-RU"/>
        </w:rPr>
        <w:t>Какое из перечисленных нарушений к обеспечению безопасности лифтов не входит в общий перечень нарушений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метрополитенах?</w:t>
      </w:r>
      <w:r>
        <w:rPr>
          <w:b/>
        </w:rPr>
        <w:br/>
        <w:t xml:space="preserve"> </w:t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Style w:val="Style15"/>
          <w:rFonts w:eastAsia="NimbusSanL-Regu" w:cs="Times New Roman"/>
          <w:b w:val="false"/>
          <w:bCs/>
          <w:color w:val="00000A"/>
          <w:spacing w:val="-1"/>
          <w:sz w:val="22"/>
          <w:szCs w:val="22"/>
          <w:lang w:eastAsia="ru-RU"/>
        </w:rPr>
        <w:t>отсутствие (неисправность)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Style w:val="Style15"/>
          <w:rFonts w:eastAsia="NimbusSanL-Regu" w:cs="Times New Roman"/>
          <w:b w:val="false"/>
          <w:bCs/>
          <w:iCs/>
          <w:color w:val="00000A"/>
          <w:spacing w:val="-1"/>
          <w:sz w:val="22"/>
          <w:szCs w:val="22"/>
          <w:lang w:eastAsia="ru-RU"/>
        </w:rPr>
        <w:t>несоответствие конструкции, элементов и составных частей объекта требованиям паспорта объекта, руководства (инструкции) по эксплуатации объекта, проектной документации по установке объекта, а также установочных и монтажных чертежей</w:t>
      </w:r>
      <w:r>
        <w:rPr>
          <w:iCs/>
          <w:sz w:val="22"/>
          <w:szCs w:val="22"/>
          <w:lang w:eastAsia="x-none"/>
        </w:rPr>
        <w:t>.</w:t>
        <w:br/>
      </w:r>
      <w:r>
        <w:rPr>
          <w:b w:val="false"/>
          <w:bCs w:val="false"/>
          <w:iCs/>
          <w:sz w:val="22"/>
          <w:szCs w:val="22"/>
          <w:lang w:eastAsia="x-none"/>
        </w:rPr>
        <w:t xml:space="preserve">- </w:t>
      </w:r>
      <w:r>
        <w:rPr>
          <w:rFonts w:eastAsia="NimbusSanL-Regu" w:cs="Times New Roman"/>
          <w:b w:val="false"/>
          <w:bCs/>
          <w:iCs/>
          <w:spacing w:val="-1"/>
          <w:sz w:val="22"/>
          <w:szCs w:val="22"/>
          <w:lang w:eastAsia="ru-RU"/>
        </w:rPr>
        <w:t>неисправность цепи безопасности при срабатывании электрических устройств безопасности, указанных в паспорте и (или) руководстве по эксплуатации объекта, при которой не исключен пуск или не обеспечивается остановка электродвигателя главного привода</w:t>
      </w:r>
      <w:r>
        <w:rPr>
          <w:b w:val="false"/>
          <w:bCs w:val="false"/>
          <w:iCs/>
          <w:sz w:val="22"/>
          <w:szCs w:val="22"/>
          <w:lang w:eastAsia="x-none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NimbusSanL-Regu" w:cs="Times New Roman"/>
          <w:b/>
          <w:bCs/>
          <w:i w:val="false"/>
          <w:iCs w:val="false"/>
          <w:spacing w:val="-1"/>
          <w:sz w:val="22"/>
          <w:szCs w:val="22"/>
          <w:lang w:val="en-US" w:eastAsia="ru-RU"/>
        </w:rPr>
        <w:t>Число тяговых элементов должно быть</w:t>
      </w:r>
      <w:r>
        <w:rPr>
          <w:rFonts w:eastAsia="Times New Roman" w:cs="Times New Roman"/>
          <w:b/>
          <w:bCs/>
          <w:i w:val="false"/>
          <w:iCs w:val="false"/>
          <w:spacing w:val="-1"/>
          <w:sz w:val="22"/>
          <w:szCs w:val="22"/>
          <w:lang w:val="en-US" w:eastAsia="ru-RU"/>
        </w:rPr>
        <w:t>?</w:t>
      </w:r>
      <w:r>
        <w:rPr>
          <w:b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NimbusSanL-Regu" w:cs="Times New Roman"/>
          <w:bCs/>
          <w:spacing w:val="-1"/>
          <w:sz w:val="22"/>
          <w:szCs w:val="22"/>
          <w:lang w:eastAsia="ru-RU"/>
        </w:rPr>
        <w:t>не менее двух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NimbusSanL-Regu" w:cs="Times New Roman"/>
          <w:bCs/>
          <w:iCs/>
          <w:spacing w:val="-1"/>
          <w:sz w:val="22"/>
          <w:szCs w:val="22"/>
          <w:lang w:eastAsia="ru-RU"/>
        </w:rPr>
        <w:t>не менее трёх</w:t>
      </w:r>
      <w:r>
        <w:rPr>
          <w:iCs/>
          <w:sz w:val="22"/>
          <w:szCs w:val="22"/>
          <w:lang w:eastAsia="x-none"/>
        </w:rPr>
        <w:t xml:space="preserve">.  </w:t>
        <w:br/>
        <w:t xml:space="preserve">- </w:t>
      </w:r>
      <w:r>
        <w:rPr>
          <w:rFonts w:eastAsia="NimbusSanL-Regu" w:cs="Times New Roman"/>
          <w:bCs/>
          <w:iCs/>
          <w:spacing w:val="-1"/>
          <w:sz w:val="22"/>
          <w:szCs w:val="22"/>
          <w:lang w:eastAsia="ru-RU"/>
        </w:rPr>
        <w:t>не менее четырёх</w:t>
      </w:r>
      <w:r>
        <w:rPr>
          <w:iCs/>
          <w:sz w:val="22"/>
          <w:szCs w:val="22"/>
          <w:lang w:eastAsia="x-none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/>
          <w:b/>
          <w:bCs/>
          <w:i w:val="false"/>
          <w:iCs w:val="false"/>
          <w:sz w:val="22"/>
          <w:szCs w:val="22"/>
          <w:lang w:eastAsia="ru-RU"/>
        </w:rPr>
        <w:t>Что должен предпринять владелец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№ 1?</w:t>
      </w:r>
      <w:r>
        <w:rPr>
          <w:b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Cs/>
          <w:spacing w:val="-2"/>
          <w:sz w:val="22"/>
          <w:szCs w:val="22"/>
          <w:lang w:eastAsia="ru-RU"/>
        </w:rPr>
        <w:t>до устранения такой угрозы - приостановление использования объекта</w:t>
      </w:r>
      <w:r>
        <w:rPr>
          <w:iCs/>
          <w:sz w:val="22"/>
          <w:szCs w:val="22"/>
          <w:lang w:eastAsia="x-none"/>
        </w:rPr>
        <w:t>.</w:t>
        <w:br/>
        <w:t>- до устранения такой угрозы - уполномоченным представителем владельца объекта соответствующая информация направляется в уполномоченный орган контроля.</w:t>
        <w:br/>
        <w:t>- до устранения такой угрозы - квалифицированный персонал специализированный организации осуществляет ремонт лифта.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lang w:eastAsia="ru-RU"/>
        </w:rPr>
        <w:t xml:space="preserve">Что должен содержать журнал, в котором оформляются данные о персонале, усвоившем требования по электробезопасности, относящиеся к его производственной деятельности, и присваивается группа I </w:t>
      </w:r>
      <w:r>
        <w:rPr>
          <w:rFonts w:eastAsia="Times New Roman" w:cs="Times New Roman"/>
          <w:b/>
          <w:bCs/>
          <w:i w:val="false"/>
          <w:iCs w:val="false"/>
          <w:spacing w:val="-1"/>
          <w:sz w:val="22"/>
          <w:szCs w:val="22"/>
          <w:lang w:eastAsia="ru-RU"/>
        </w:rPr>
        <w:t>?</w:t>
      </w:r>
      <w:r>
        <w:rPr>
          <w:b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2"/>
          <w:szCs w:val="22"/>
          <w:lang w:eastAsia="ru-RU"/>
        </w:rPr>
        <w:t>фамилию, имя, отчество работника, его должность, дату присвоения группы I по электробезопасности, подпись проверяемого и проверяющего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sz w:val="22"/>
          <w:szCs w:val="22"/>
          <w:lang w:eastAsia="ru-RU"/>
        </w:rPr>
        <w:t>фамилию, имя, отчество работника, его должность, дату присвоения группы I по электробезопасности, подпись проверяемого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-1"/>
          <w:sz w:val="22"/>
          <w:szCs w:val="22"/>
          <w:lang w:eastAsia="ru-RU"/>
        </w:rPr>
        <w:t>фамилию, имя, отчество работника, его должность, дату присвоения группы I по электробезопасности</w:t>
      </w:r>
      <w:r>
        <w:rPr>
          <w:iCs/>
          <w:sz w:val="22"/>
          <w:szCs w:val="22"/>
          <w:lang w:eastAsia="x-none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sz w:val="22"/>
          <w:szCs w:val="22"/>
          <w:lang w:eastAsia="x-none"/>
        </w:rPr>
        <w:t>Кто принимает решение  о проведении технического расследования аварии на опасном объекте, в результате которой причинён вред только имуществу потерпевших?</w:t>
      </w:r>
      <w:r>
        <w:rPr>
          <w:b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/>
          <w:spacing w:val="-3"/>
          <w:sz w:val="22"/>
          <w:szCs w:val="22"/>
        </w:rPr>
        <w:t>орган Ростехнадзора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>- в</w:t>
      </w:r>
      <w:r>
        <w:rPr>
          <w:rFonts w:eastAsia="Times New Roman" w:cs="Times New Roman"/>
          <w:bCs/>
          <w:iCs/>
          <w:spacing w:val="-3"/>
          <w:sz w:val="22"/>
          <w:szCs w:val="22"/>
          <w:lang w:eastAsia="x-none"/>
        </w:rPr>
        <w:t>ладелец опасного объекта</w:t>
      </w:r>
      <w:r>
        <w:rPr>
          <w:iCs/>
          <w:sz w:val="22"/>
          <w:szCs w:val="22"/>
          <w:lang w:eastAsia="x-none"/>
        </w:rPr>
        <w:t>.</w:t>
        <w:br/>
        <w:t>- специализированная организация, обслуживающая опасный объект</w:t>
      </w:r>
      <w:r>
        <w:rPr>
          <w:bCs/>
          <w:iCs/>
          <w:sz w:val="22"/>
          <w:szCs w:val="22"/>
          <w:lang w:eastAsia="x-none"/>
        </w:rPr>
        <w:t>.</w:t>
      </w:r>
      <w:r>
        <w:rPr>
          <w:b/>
          <w:sz w:val="28"/>
          <w:szCs w:val="28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spacing w:val="-3"/>
          <w:sz w:val="22"/>
          <w:szCs w:val="22"/>
          <w:lang w:eastAsia="x-none"/>
        </w:rPr>
        <w:t>В какие сроки проводится очередная проверка знаний административно-технического персонала и специалистов по охране труда, допущенных к  инспектированию электроустановок?</w:t>
      </w:r>
      <w:r>
        <w:rPr>
          <w:b/>
        </w:rPr>
        <w:br/>
      </w:r>
      <w:r>
        <w:rPr/>
        <w:br/>
      </w:r>
      <w:r>
        <w:rPr>
          <w:rFonts w:eastAsia="Calibri" w:cs="Calibri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bCs/>
          <w:spacing w:val="-1"/>
          <w:sz w:val="22"/>
          <w:szCs w:val="22"/>
          <w:lang w:eastAsia="ru-RU"/>
        </w:rPr>
        <w:t>1 раз в год</w:t>
      </w:r>
      <w:r>
        <w:rPr>
          <w:iCs/>
          <w:sz w:val="22"/>
          <w:szCs w:val="22"/>
          <w:lang w:eastAsia="x-none"/>
        </w:rPr>
        <w:t xml:space="preserve">. </w:t>
        <w:br/>
        <w:t xml:space="preserve">- </w:t>
      </w:r>
      <w:r>
        <w:rPr>
          <w:rFonts w:eastAsia="Times New Roman" w:cs="Times New Roman"/>
          <w:bCs/>
          <w:iCs/>
          <w:spacing w:val="-1"/>
          <w:sz w:val="22"/>
          <w:szCs w:val="22"/>
          <w:lang w:eastAsia="ru-RU"/>
        </w:rPr>
        <w:t>1 раз в два года</w:t>
      </w:r>
      <w:r>
        <w:rPr>
          <w:iCs/>
          <w:sz w:val="22"/>
          <w:szCs w:val="22"/>
          <w:lang w:eastAsia="x-none"/>
        </w:rPr>
        <w:t>.</w:t>
        <w:br/>
      </w:r>
      <w:r>
        <w:rPr>
          <w:rFonts w:eastAsia="Calibri" w:cs=""/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sz w:val="22"/>
          <w:szCs w:val="22"/>
          <w:lang w:eastAsia="ru-RU"/>
        </w:rPr>
        <w:t>1 раз в три года</w:t>
      </w:r>
      <w:r>
        <w:rPr>
          <w:rFonts w:eastAsia="Calibri" w:cs=""/>
          <w:iCs/>
          <w:sz w:val="22"/>
          <w:szCs w:val="22"/>
          <w:lang w:eastAsia="x-none"/>
        </w:rPr>
        <w:t>.</w:t>
      </w: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pacing w:val="-2"/>
          <w:sz w:val="22"/>
          <w:szCs w:val="22"/>
          <w:lang w:eastAsia="x-none"/>
        </w:rPr>
        <w:t>Что из перечисленного должно содержаться в производственных (должностных) инструкциях квалифицированного персонала?</w:t>
        <w:br/>
        <w:br/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- </w:t>
      </w:r>
      <w:r>
        <w:rPr>
          <w:rFonts w:eastAsia="NimbusSanL-Regu" w:cs="Times New Roman"/>
          <w:b w:val="false"/>
          <w:bCs/>
          <w:i w:val="false"/>
          <w:iCs w:val="false"/>
          <w:spacing w:val="-2"/>
          <w:position w:val="0"/>
          <w:sz w:val="22"/>
          <w:sz w:val="22"/>
          <w:szCs w:val="22"/>
          <w:vertAlign w:val="baseline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 xml:space="preserve">- </w:t>
      </w:r>
      <w:r>
        <w:rPr>
          <w:rFonts w:eastAsia="NimbusSanL-Regu" w:cs="Times New Roman"/>
          <w:b w:val="false"/>
          <w:bCs/>
          <w:i w:val="false"/>
          <w:iCs w:val="false"/>
          <w:spacing w:val="-2"/>
          <w:sz w:val="22"/>
          <w:szCs w:val="2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сведения о местонахождении каждого закрепленного за работником объекта с указанием заводских и учетных номеров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/>
          <w:i w:val="false"/>
          <w:iCs w:val="false"/>
          <w:spacing w:val="-2"/>
          <w:sz w:val="22"/>
          <w:szCs w:val="22"/>
          <w:lang w:eastAsia="x-none"/>
        </w:rPr>
        <w:t>сведения о местонахождении каждого закрепленного за работником объекта с указанием заводских и учетных,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Times New Roman" w:cs="Times New Roman"/>
          <w:b/>
          <w:bCs/>
          <w:i/>
          <w:iCs/>
          <w:spacing w:val="-2"/>
          <w:sz w:val="22"/>
          <w:szCs w:val="22"/>
          <w:lang w:eastAsia="x-none"/>
        </w:rPr>
        <w:br/>
        <w:br/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 w:val="false"/>
          <w:bCs/>
          <w:i w:val="false"/>
          <w:iCs w:val="false"/>
          <w:spacing w:val="-2"/>
          <w:sz w:val="24"/>
          <w:szCs w:val="24"/>
          <w:lang w:eastAsia="x-none"/>
        </w:rPr>
        <w:br/>
      </w:r>
      <w:r>
        <w:rPr/>
        <w:b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Практический этап профессионального экзамена</w:t>
      </w:r>
    </w:p>
    <w:p>
      <w:pPr>
        <w:pStyle w:val="Normal"/>
        <w:ind w:hanging="0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rPr/>
      </w:pPr>
      <w:r>
        <w:rPr>
          <w:b/>
        </w:rPr>
        <w:t>Задание:</w:t>
        <w:br/>
      </w:r>
      <w:r>
        <w:rPr>
          <w:b/>
          <w:lang w:val="en-US"/>
        </w:rPr>
        <w:t xml:space="preserve">1. </w:t>
      </w:r>
      <w:r>
        <w:rPr>
          <w:b w:val="false"/>
          <w:bCs w:val="false"/>
          <w:i w:val="false"/>
          <w:iCs w:val="false"/>
          <w:sz w:val="22"/>
          <w:szCs w:val="22"/>
          <w:lang w:val="en-US"/>
        </w:rPr>
        <w:t xml:space="preserve">Составить график работы лифтёров на </w:t>
      </w:r>
      <w:r>
        <w:rPr>
          <w:b w:val="false"/>
          <w:bCs w:val="false"/>
          <w:i w:val="false"/>
          <w:iCs w:val="false"/>
          <w:sz w:val="22"/>
          <w:szCs w:val="22"/>
          <w:lang w:val="ru-RU"/>
        </w:rPr>
        <w:t xml:space="preserve">следующий </w:t>
      </w:r>
      <w:r>
        <w:rPr>
          <w:b w:val="false"/>
          <w:bCs w:val="false"/>
          <w:i w:val="false"/>
          <w:iCs w:val="false"/>
          <w:sz w:val="22"/>
          <w:szCs w:val="22"/>
          <w:lang w:val="en-US"/>
        </w:rPr>
        <w:t>месяц, обслуживающих 4 пассажирских лифта самостоятельного пользования в 9-и этажном санаторном корпусе.</w:t>
        <w:br/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lang w:val="en-US"/>
        </w:rPr>
        <w:t>Изложить перечень работ при ежесменном осмотре лифтёром пассажирского лифта с ручным приводом дверей (распашными дверями) и объём этих работ.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lang w:val="en-US"/>
        </w:rPr>
        <w:t>Изложить действия специалиста по контролю сроков действия квалификационных удостоверений (свидетельств о квалификации) подчинённого персонала, по организации повторной проверки знаний, по организации проведения оценки квалификации вновь принимаемых лифтёров.</w:t>
      </w:r>
      <w:r>
        <w:rPr>
          <w:sz w:val="22"/>
          <w:szCs w:val="22"/>
        </w:rPr>
        <w:br/>
      </w:r>
      <w:r>
        <w:rPr/>
        <w:br/>
      </w:r>
      <w:r>
        <w:rPr>
          <w:b/>
        </w:rPr>
        <w:t>Условия выполнения задания:</w:t>
        <w:br/>
      </w:r>
      <w:bookmarkStart w:id="0" w:name="__DdeLink__711_689900690"/>
      <w:r>
        <w:rPr>
          <w:b/>
        </w:rPr>
        <w:t>1.</w:t>
      </w:r>
      <w:r>
        <w:rPr/>
        <w:t xml:space="preserve"> </w:t>
      </w:r>
      <w:r>
        <w:rPr>
          <w:b/>
          <w:bCs/>
        </w:rPr>
        <w:t>Место выполнения задания:</w:t>
      </w:r>
      <w:r>
        <w:rPr/>
        <w:t xml:space="preserve"> </w:t>
      </w:r>
      <w:bookmarkStart w:id="1" w:name="__DdeLink__911_1072847418"/>
      <w:r>
        <w:rPr/>
        <w:t>Экз</w:t>
      </w:r>
      <w:r>
        <w:rPr/>
        <w:t>аменационная</w:t>
      </w:r>
      <w:r>
        <w:rPr/>
        <w:t xml:space="preserve"> п</w:t>
      </w:r>
      <w:r>
        <w:rPr>
          <w:sz w:val="22"/>
          <w:szCs w:val="22"/>
        </w:rPr>
        <w:t>лощадка ЦОК, имеющая соответствующую материально-техническую базу.</w:t>
      </w:r>
      <w:bookmarkEnd w:id="1"/>
      <w:r>
        <w:rPr>
          <w:sz w:val="22"/>
          <w:szCs w:val="22"/>
        </w:rPr>
        <w:br/>
      </w:r>
      <w:r>
        <w:rPr/>
        <w:br/>
      </w:r>
      <w:r>
        <w:rPr>
          <w:b/>
        </w:rPr>
        <w:t>2.</w:t>
      </w:r>
      <w:r>
        <w:rPr/>
        <w:t xml:space="preserve"> </w:t>
      </w:r>
      <w:r>
        <w:rPr>
          <w:b/>
          <w:bCs/>
        </w:rPr>
        <w:t>Время выполнения задания:</w:t>
      </w:r>
      <w:r>
        <w:rPr/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</w:rPr>
        <w:t>не более 120 мин</w:t>
        <w:br/>
        <w:br/>
      </w:r>
      <w:r>
        <w:rPr>
          <w:b/>
          <w:bCs/>
          <w:i w:val="false"/>
          <w:iCs w:val="false"/>
          <w:sz w:val="22"/>
          <w:szCs w:val="22"/>
        </w:rPr>
        <w:t xml:space="preserve">3. </w:t>
      </w:r>
      <w:bookmarkStart w:id="2" w:name="__DdeLink__239_2036284652"/>
      <w:r>
        <w:rPr>
          <w:b/>
          <w:bCs/>
          <w:i w:val="false"/>
          <w:iCs w:val="false"/>
          <w:sz w:val="22"/>
          <w:szCs w:val="22"/>
        </w:rPr>
        <w:t>Соискатель производит запись в журнале по выполнению каждого пункта практического задания.</w:t>
      </w:r>
      <w:bookmarkEnd w:id="2"/>
      <w:r>
        <w:rPr>
          <w:sz w:val="22"/>
          <w:szCs w:val="22"/>
          <w:lang w:eastAsia="ru-RU"/>
        </w:rPr>
        <w:br/>
      </w:r>
      <w:r>
        <w:rPr/>
        <w:br/>
      </w:r>
      <w:r>
        <w:rPr>
          <w:b/>
          <w:bCs/>
        </w:rPr>
        <w:t>4</w:t>
      </w:r>
      <w:r>
        <w:rPr>
          <w:b/>
        </w:rPr>
        <w:t>.</w:t>
      </w:r>
      <w:r>
        <w:rPr/>
        <w:t xml:space="preserve"> </w:t>
      </w:r>
      <w:r>
        <w:rPr>
          <w:b/>
          <w:sz w:val="22"/>
          <w:szCs w:val="22"/>
        </w:rPr>
        <w:t>Допускается использовать ссылки на следующие документы:</w:t>
        <w:br/>
      </w:r>
      <w:r>
        <w:rPr>
          <w:b w:val="false"/>
          <w:bCs w:val="false"/>
          <w:sz w:val="22"/>
          <w:szCs w:val="22"/>
        </w:rPr>
        <w:t>- Технический регламент «Безопасность лифтов»  и взаимосвязанные с ТР ТС 011/2011 стандарты.</w:t>
      </w:r>
      <w:r>
        <w:rPr>
          <w:b/>
          <w:bCs/>
          <w:sz w:val="22"/>
          <w:szCs w:val="22"/>
          <w:u w:val="none"/>
          <w:lang w:eastAsia="ru-RU"/>
        </w:rPr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- </w:t>
      </w:r>
      <w:r>
        <w:rPr>
          <w:b w:val="false"/>
          <w:bCs w:val="false"/>
          <w:sz w:val="22"/>
          <w:szCs w:val="22"/>
        </w:rPr>
        <w:t>Профессиональный стандарт «Специалист по эксплуатации лифтового оборудования».</w:t>
        <w:br/>
        <w:t>- Правила по электробезопасности.</w:t>
        <w:br/>
        <w:t xml:space="preserve">- </w:t>
      </w:r>
      <w:r>
        <w:rPr>
          <w:b w:val="false"/>
          <w:bCs w:val="false"/>
          <w:i w:val="false"/>
          <w:iCs w:val="false"/>
          <w:sz w:val="22"/>
          <w:szCs w:val="22"/>
          <w:u w:val="none"/>
          <w:lang w:eastAsia="ru-RU"/>
        </w:rPr>
        <w:t>Правила проведения технического расследования причин аварий на опасных объектах.</w:t>
        <w:br/>
        <w:t xml:space="preserve">-  Правила </w:t>
      </w:r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  <w:br/>
        <w:t>- Должностная инструкция «</w:t>
      </w: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eastAsia="ru-RU"/>
        </w:rPr>
        <w:t>Специалист по организации эксплуатации лифтов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eastAsia="ru-RU"/>
        </w:rPr>
        <w:t>».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134" w:top="1686" w:footer="1134" w:bottom="16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f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7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Название Знак"/>
    <w:basedOn w:val="DefaultParagraphFont"/>
    <w:link w:val="a3"/>
    <w:uiPriority w:val="10"/>
    <w:qFormat/>
    <w:rsid w:val="007365e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65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8"/>
      <w:szCs w:val="22"/>
    </w:rPr>
  </w:style>
  <w:style w:type="character" w:styleId="ListLabel5">
    <w:name w:val="ListLabel 5"/>
    <w:qFormat/>
    <w:rPr>
      <w:b/>
      <w:sz w:val="28"/>
      <w:szCs w:val="22"/>
    </w:rPr>
  </w:style>
  <w:style w:type="character" w:styleId="ListLabel6">
    <w:name w:val="ListLabel 6"/>
    <w:qFormat/>
    <w:rPr>
      <w:b/>
      <w:sz w:val="28"/>
      <w:szCs w:val="22"/>
    </w:rPr>
  </w:style>
  <w:style w:type="character" w:styleId="ListLabel7">
    <w:name w:val="ListLabel 7"/>
    <w:qFormat/>
    <w:rPr>
      <w:b/>
      <w:sz w:val="28"/>
      <w:szCs w:val="22"/>
    </w:rPr>
  </w:style>
  <w:style w:type="character" w:styleId="ListLabel8">
    <w:name w:val="ListLabel 8"/>
    <w:qFormat/>
    <w:rPr>
      <w:b/>
      <w:sz w:val="28"/>
      <w:szCs w:val="22"/>
    </w:rPr>
  </w:style>
  <w:style w:type="character" w:styleId="ListLabel9">
    <w:name w:val="ListLabel 9"/>
    <w:qFormat/>
    <w:rPr>
      <w:b/>
      <w:sz w:val="28"/>
      <w:szCs w:val="22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b/>
      <w:sz w:val="28"/>
      <w:szCs w:val="22"/>
    </w:rPr>
  </w:style>
  <w:style w:type="character" w:styleId="ListLabel11">
    <w:name w:val="ListLabel 11"/>
    <w:qFormat/>
    <w:rPr>
      <w:b/>
      <w:sz w:val="28"/>
      <w:szCs w:val="22"/>
    </w:rPr>
  </w:style>
  <w:style w:type="character" w:styleId="Style15">
    <w:name w:val="Не вступил в силу"/>
    <w:basedOn w:val="DefaultParagraphFont"/>
    <w:qFormat/>
    <w:rPr>
      <w:b/>
      <w:bCs/>
      <w:color w:val="008080"/>
    </w:rPr>
  </w:style>
  <w:style w:type="character" w:styleId="ListLabel12">
    <w:name w:val="ListLabel 12"/>
    <w:qFormat/>
    <w:rPr>
      <w:b/>
      <w:sz w:val="28"/>
      <w:szCs w:val="22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b/>
      <w:sz w:val="28"/>
      <w:szCs w:val="22"/>
    </w:rPr>
  </w:style>
  <w:style w:type="character" w:styleId="ListLabel14">
    <w:name w:val="ListLabel 14"/>
    <w:qFormat/>
    <w:rPr>
      <w:b/>
      <w:sz w:val="28"/>
      <w:szCs w:val="22"/>
    </w:rPr>
  </w:style>
  <w:style w:type="character" w:styleId="ListLabel15">
    <w:name w:val="ListLabel 15"/>
    <w:qFormat/>
    <w:rPr>
      <w:b/>
      <w:sz w:val="28"/>
      <w:szCs w:val="22"/>
    </w:rPr>
  </w:style>
  <w:style w:type="character" w:styleId="ListLabel16">
    <w:name w:val="ListLabel 16"/>
    <w:qFormat/>
    <w:rPr>
      <w:b/>
      <w:sz w:val="28"/>
      <w:szCs w:val="22"/>
    </w:rPr>
  </w:style>
  <w:style w:type="character" w:styleId="ListLabel17">
    <w:name w:val="ListLabel 17"/>
    <w:qFormat/>
    <w:rPr>
      <w:b/>
      <w:sz w:val="28"/>
      <w:szCs w:val="22"/>
    </w:rPr>
  </w:style>
  <w:style w:type="character" w:styleId="ListLabel18">
    <w:name w:val="ListLabel 18"/>
    <w:qFormat/>
    <w:rPr>
      <w:b/>
      <w:sz w:val="28"/>
      <w:szCs w:val="22"/>
    </w:rPr>
  </w:style>
  <w:style w:type="character" w:styleId="ListLabel19">
    <w:name w:val="ListLabel 19"/>
    <w:qFormat/>
    <w:rPr>
      <w:b/>
      <w:sz w:val="28"/>
      <w:szCs w:val="22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link w:val="a4"/>
    <w:uiPriority w:val="10"/>
    <w:qFormat/>
    <w:rsid w:val="007365e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470"/>
    <w:pPr>
      <w:spacing w:before="0" w:after="200"/>
      <w:ind w:left="720" w:hanging="0"/>
      <w:contextualSpacing/>
    </w:pPr>
    <w:rPr/>
  </w:style>
  <w:style w:type="paragraph" w:styleId="Style23">
    <w:name w:val="Footer"/>
    <w:basedOn w:val="Normal"/>
    <w:pPr/>
    <w:rPr/>
  </w:style>
  <w:style w:type="paragraph" w:styleId="Style24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28F9AA-CD68-4BE0-BE70-37FE4BD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LibreOffice/5.2.2.2$Windows_x86 LibreOffice_project/8f96e87c890bf8fa77463cd4b640a2312823f3ad</Application>
  <Pages>4</Pages>
  <Words>936</Words>
  <Characters>6681</Characters>
  <CharactersWithSpaces>7627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2018-07-24T17:29:00Z</dcterms:created>
  <dc:creator>user</dc:creator>
  <dc:description/>
  <dc:language>ru-RU</dc:language>
  <cp:lastModifiedBy/>
  <dcterms:modified xsi:type="dcterms:W3CDTF">2018-08-08T09:46:26Z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