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2F" w:rsidRDefault="007E09FB" w:rsidP="00146067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20052F" w:rsidRDefault="007E09FB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  <w:color w:val="000000"/>
        </w:rPr>
        <w:t>Техник-наладчик диспетчерского оборудования и телеавтоматики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E44FCE" w:rsidRPr="00146067">
        <w:t>5</w:t>
      </w:r>
      <w:r>
        <w:t>»</w:t>
      </w:r>
    </w:p>
    <w:p w:rsidR="0020052F" w:rsidRDefault="007E09FB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20052F" w:rsidRPr="00520962" w:rsidRDefault="007E09FB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20052F" w:rsidRPr="00520962" w:rsidRDefault="007E09FB" w:rsidP="00146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20052F" w:rsidRDefault="007E09FB">
      <w:pPr>
        <w:pStyle w:val="ac"/>
        <w:numPr>
          <w:ilvl w:val="0"/>
          <w:numId w:val="2"/>
        </w:numPr>
      </w:pPr>
      <w:r w:rsidRPr="00520962">
        <w:rPr>
          <w:rFonts w:eastAsia="Times New Roman" w:cs="Times New Roman"/>
          <w:b/>
          <w:bCs/>
          <w:color w:val="000000"/>
          <w:spacing w:val="2"/>
          <w:lang w:eastAsia="x-none"/>
        </w:rPr>
        <w:t>Оконечное оборудование - это</w:t>
      </w:r>
      <w:r w:rsidRPr="00520962">
        <w:rPr>
          <w:rFonts w:eastAsia="Times New Roman" w:cs="Times New Roman"/>
          <w:b/>
          <w:bCs/>
          <w:color w:val="000000"/>
          <w:spacing w:val="-3"/>
          <w:lang w:eastAsia="x-none"/>
        </w:rPr>
        <w:t>:</w:t>
      </w:r>
      <w:r>
        <w:br/>
        <w:t xml:space="preserve">- </w:t>
      </w:r>
      <w:r>
        <w:rPr>
          <w:rFonts w:eastAsia="Times New Roman" w:cs="Times New Roman"/>
          <w:color w:val="000000"/>
          <w:spacing w:val="2"/>
          <w:lang w:eastAsia="ru-RU"/>
        </w:rPr>
        <w:t>Технические средства для передачи и/или приема сигналов электросвязи, находящиеся в пользовании абонентов и/или пользователей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Технические средства, находящиеся в пользовании абонентов и/или пользователей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Технические средства для передачи и/или приема сигналов электросвязи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spacing w:val="2"/>
          <w:lang w:eastAsia="x-none"/>
        </w:rPr>
        <w:t>Технические средства для передачи сигналов электросвязи, находящиеся в пользовании абонентов и/или пользователей</w:t>
      </w:r>
      <w:r>
        <w:br/>
      </w:r>
    </w:p>
    <w:p w:rsidR="0020052F" w:rsidRDefault="007E09FB">
      <w:pPr>
        <w:pStyle w:val="ac"/>
        <w:numPr>
          <w:ilvl w:val="0"/>
          <w:numId w:val="2"/>
        </w:numPr>
        <w:rPr>
          <w:rFonts w:ascii="Calibri" w:hAnsi="Calibri"/>
        </w:rPr>
      </w:pPr>
      <w:r>
        <w:rPr>
          <w:rFonts w:cs="Times New Roman"/>
          <w:b/>
          <w:bCs/>
          <w:color w:val="000000"/>
          <w:spacing w:val="2"/>
        </w:rPr>
        <w:t>Электросвязь, которая поддерживает подвижность пользователей посредством сотовой пространственной структуры сети электросвязи и эстафетной передачи обслуживания между сотами называется: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подвижная электросвязь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статическая электросвязь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периодическая электросвязь</w:t>
      </w:r>
      <w:r>
        <w:t>.</w:t>
      </w:r>
      <w:r>
        <w:br/>
        <w:t xml:space="preserve">- </w:t>
      </w:r>
      <w:r>
        <w:rPr>
          <w:rFonts w:eastAsia="Times New Roman" w:cs="Times New Roman"/>
          <w:color w:val="000000"/>
          <w:spacing w:val="2"/>
        </w:rPr>
        <w:t>движущаяся электросвязь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</w:rPr>
        <w:t>Характеристики внешней питающей сети должны отвечать назначению лифта и быть: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1-й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не ниже 2-й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3-й категории электроснабжения</w:t>
      </w:r>
      <w:r>
        <w:rPr>
          <w:iCs/>
          <w:lang w:eastAsia="x-none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i/>
          <w:color w:val="000000"/>
          <w:spacing w:val="-1"/>
          <w:lang w:eastAsia="ru-RU"/>
        </w:rPr>
        <w:t>Электрические устройства безопасности должны быть включены: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>в цепь безопасности, за исключением концевого выключателя, действующего в цепи главного тока электродвигателя.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в цепь безопасности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в цепь главного тока электродвигателя</w:t>
      </w:r>
      <w:r>
        <w:rPr>
          <w:iCs/>
          <w:lang w:eastAsia="x-none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spacing w:val="2"/>
          <w:lang w:eastAsia="ru-RU"/>
        </w:rPr>
        <w:t>После окончания текущего ремонта оборудования диспетч</w:t>
      </w:r>
      <w:r w:rsidR="00146067">
        <w:rPr>
          <w:rFonts w:eastAsia="Times New Roman" w:cs="Times New Roman"/>
          <w:b/>
          <w:bCs/>
          <w:color w:val="000000"/>
          <w:spacing w:val="2"/>
          <w:lang w:eastAsia="ru-RU"/>
        </w:rPr>
        <w:t xml:space="preserve">ерской системы  </w:t>
      </w:r>
      <w:r>
        <w:rPr>
          <w:rFonts w:eastAsia="Times New Roman" w:cs="Times New Roman"/>
          <w:b/>
          <w:bCs/>
          <w:color w:val="000000"/>
          <w:spacing w:val="2"/>
          <w:lang w:eastAsia="ru-RU"/>
        </w:rPr>
        <w:t xml:space="preserve">АСУД) технику-наладчику  диспетчерского оборудования и телеавтоматики </w:t>
      </w: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необходимо: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lang w:eastAsia="ru-RU"/>
        </w:rPr>
        <w:t>Провести ежемесячное техническое обслуживание системы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По средствам сотовой связи сообщить центральному диспетчеру или непосредственному руководителю об устранении неисправностей АСУД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Произвести запись в журнал выдачи заданий о характере выполненных работ (текущего ремонта) с указанием даты и времени, ФИО исполнителя</w:t>
      </w:r>
      <w:r>
        <w:rPr>
          <w:rFonts w:eastAsia="Times New Roman" w:cs="Arial"/>
          <w:iCs/>
          <w:color w:val="000000"/>
          <w:spacing w:val="-1"/>
          <w:lang w:eastAsia="ru-RU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lastRenderedPageBreak/>
        <w:t>На какое минимальное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2"/>
          <w:lang w:eastAsia="ru-RU"/>
        </w:rPr>
        <w:t>Не менее 30 минут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Не менее 1 часа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Время зависит от типа лифта и указывается в эксплуатационной документации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Не менее 1 суток</w:t>
      </w:r>
      <w:r>
        <w:rPr>
          <w:iCs/>
          <w:lang w:eastAsia="x-none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Как часто оборудование диспетчерского комплекса должно подвергаться  периодической проверке на функционирование в период эксплуатации?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 xml:space="preserve">Проверка на функционирование должна выполняться </w:t>
      </w:r>
      <w:r>
        <w:rPr>
          <w:rFonts w:eastAsia="Times New Roman" w:cs="Times New Roman"/>
          <w:bCs/>
          <w:color w:val="000000"/>
          <w:spacing w:val="-1"/>
          <w:lang w:eastAsia="zh-CN"/>
        </w:rPr>
        <w:t>совместно с проведением периодических технических освидетельствований лифтов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>Проверка составных частей диспетчерского комплекса на функционирование должна выполняться выборочно или после отказов в его работе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color w:val="000000"/>
          <w:spacing w:val="-1"/>
          <w:lang w:eastAsia="x-none"/>
        </w:rPr>
        <w:t>Проверка на функционирование выполняется не реже 1 раза в 12 месяцев в объеме, определенном эксплуатационной документацией на составные части комплекса</w:t>
      </w:r>
      <w:r>
        <w:rPr>
          <w:rFonts w:eastAsia="Times New Roman" w:cs="Arial"/>
          <w:iCs/>
          <w:spacing w:val="-2"/>
          <w:lang w:eastAsia="ru-RU"/>
        </w:rPr>
        <w:t>.</w:t>
      </w:r>
      <w: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>Укажите не</w:t>
      </w:r>
      <w:r>
        <w:rPr>
          <w:rFonts w:eastAsia="Times New Roman" w:cs="Times New Roman"/>
          <w:b/>
          <w:bCs/>
          <w:i/>
          <w:iCs/>
          <w:color w:val="000000"/>
          <w:spacing w:val="-3"/>
          <w:u w:val="single"/>
          <w:lang w:eastAsia="zh-CN"/>
        </w:rPr>
        <w:t>правильный вариант.</w:t>
      </w:r>
      <w:r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 xml:space="preserve"> Автоматическое отключение электр</w:t>
      </w:r>
      <w:r w:rsidR="00146067"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 xml:space="preserve">опитания лифта лифтовым блоком </w:t>
      </w:r>
      <w:r>
        <w:rPr>
          <w:rFonts w:eastAsia="Times New Roman" w:cs="Times New Roman"/>
          <w:b/>
          <w:bCs/>
          <w:i/>
          <w:iCs/>
          <w:color w:val="000000"/>
          <w:spacing w:val="-3"/>
          <w:lang w:eastAsia="zh-CN"/>
        </w:rPr>
        <w:t>происходит при формировании состояний: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2"/>
          <w:lang w:eastAsia="ru-RU"/>
        </w:rPr>
        <w:t>«КЗ цепи безопасности»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«Несанкционированное движение кабины»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«Превышение грузоподъемности»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«Авария привода дверей»</w:t>
      </w:r>
      <w:r>
        <w:rPr>
          <w:b/>
          <w:sz w:val="28"/>
          <w:szCs w:val="28"/>
        </w:rP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Технология электросвязи, основанная на организации последовательности каналов передачи для доставки сообщений электросвязи, называется:</w:t>
      </w:r>
      <w:r>
        <w:rPr>
          <w:b/>
        </w:rP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Calibri" w:cs="Times New Roman"/>
          <w:color w:val="000000"/>
          <w:spacing w:val="-1"/>
          <w:lang w:eastAsia="zh-CN"/>
        </w:rPr>
        <w:t>коммутация каналов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spacing w:val="-2"/>
          <w:lang w:eastAsia="zh-CN"/>
        </w:rPr>
        <w:t>группировка каналов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Calibri" w:cs="Times New Roman"/>
          <w:iCs/>
          <w:color w:val="000000"/>
          <w:spacing w:val="-2"/>
          <w:lang w:eastAsia="zh-CN"/>
        </w:rPr>
        <w:t>приоритезация данных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lang w:eastAsia="zh-CN"/>
        </w:rPr>
        <w:t>разделение данных</w:t>
      </w:r>
      <w:r>
        <w:rPr>
          <w:rFonts w:eastAsia="Times New Roman" w:cs="Times New Roman"/>
          <w:iCs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20052F" w:rsidRDefault="007E09FB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spacing w:val="-2"/>
          <w:lang w:eastAsia="ru-RU"/>
        </w:rPr>
        <w:t>«</w:t>
      </w:r>
      <w:r>
        <w:rPr>
          <w:rFonts w:eastAsia="Times New Roman" w:cs="Arial"/>
          <w:color w:val="000000"/>
          <w:spacing w:val="-2"/>
          <w:lang w:eastAsia="ru-RU"/>
        </w:rPr>
        <w:t>Диэлектрические боты или галоши</w:t>
      </w:r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«Диэлектрические ковры и изолирующие подставки»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</w:t>
      </w:r>
      <w:r>
        <w:rPr>
          <w:rFonts w:eastAsia="Times New Roman" w:cs="Times New Roman"/>
          <w:color w:val="2D2D2D"/>
          <w:spacing w:val="2"/>
          <w:lang w:eastAsia="ru-RU"/>
        </w:rPr>
        <w:t>Изолирующие колпаки</w:t>
      </w:r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</w:p>
    <w:p w:rsidR="00146067" w:rsidRDefault="007E09FB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146067" w:rsidRDefault="00146067">
      <w:pPr>
        <w:spacing w:after="0" w:line="240" w:lineRule="auto"/>
      </w:pPr>
      <w:r>
        <w:br w:type="page"/>
      </w:r>
    </w:p>
    <w:p w:rsidR="0020052F" w:rsidRDefault="0020052F">
      <w:pPr>
        <w:pStyle w:val="ac"/>
      </w:pPr>
    </w:p>
    <w:p w:rsidR="0020052F" w:rsidRDefault="007E09FB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20052F" w:rsidRDefault="0020052F">
      <w:pPr>
        <w:rPr>
          <w:i/>
        </w:rPr>
      </w:pPr>
    </w:p>
    <w:p w:rsidR="0020052F" w:rsidRDefault="007E09FB">
      <w:r>
        <w:rPr>
          <w:b/>
        </w:rPr>
        <w:t>Задание:</w:t>
      </w:r>
      <w:r>
        <w:rPr>
          <w:b/>
        </w:rPr>
        <w:br/>
      </w:r>
      <w:r w:rsidRPr="00520962">
        <w:rPr>
          <w:b/>
        </w:rPr>
        <w:t xml:space="preserve">1. </w:t>
      </w:r>
      <w:r w:rsidRPr="00520962">
        <w:rPr>
          <w:rFonts w:eastAsia="Calibri" w:cs="Times New Roman"/>
          <w:color w:val="000000"/>
          <w:spacing w:val="-2"/>
          <w:lang w:eastAsia="ru-RU"/>
        </w:rPr>
        <w:t>Провести регулировку параметров оборудования ДС в соответствии с технической документацией изготовителя в случае ее подключения к процессорной станции управления.</w:t>
      </w:r>
      <w:r>
        <w:br/>
      </w:r>
      <w:r w:rsidRPr="00520962">
        <w:rPr>
          <w:b/>
          <w:bCs/>
        </w:rPr>
        <w:t>2.</w:t>
      </w:r>
      <w:r w:rsidRPr="00520962">
        <w:t xml:space="preserve"> </w:t>
      </w:r>
      <w:r w:rsidR="00146067">
        <w:rPr>
          <w:rFonts w:eastAsia="Calibri" w:cs="Times New Roman"/>
          <w:color w:val="000000"/>
          <w:spacing w:val="-2"/>
          <w:lang w:eastAsia="ru-RU"/>
        </w:rPr>
        <w:t>Провести</w:t>
      </w:r>
      <w:r w:rsidRPr="00520962">
        <w:rPr>
          <w:rFonts w:eastAsia="Calibri" w:cs="Times New Roman"/>
          <w:color w:val="000000"/>
          <w:spacing w:val="-2"/>
          <w:lang w:eastAsia="ru-RU"/>
        </w:rPr>
        <w:t xml:space="preserve"> подключение и регулировку параметров оборудования резервного питания диспетчерского оборудования.</w:t>
      </w:r>
      <w:r>
        <w:br/>
      </w:r>
      <w:r w:rsidRPr="00520962">
        <w:rPr>
          <w:b/>
          <w:bCs/>
        </w:rPr>
        <w:t>3.</w:t>
      </w:r>
      <w:r w:rsidRPr="00520962">
        <w:t xml:space="preserve"> </w:t>
      </w:r>
      <w:r w:rsidRPr="00520962">
        <w:rPr>
          <w:rFonts w:eastAsia="Calibri" w:cs="Times New Roman"/>
          <w:color w:val="000000"/>
          <w:spacing w:val="-2"/>
          <w:lang w:eastAsia="ru-RU"/>
        </w:rPr>
        <w:t>Провести регулировку параметров оборудования ДС в соответствии с технической документацией изготовителя в случае ее подключения к релейной станции управления.</w:t>
      </w:r>
      <w:r>
        <w:br/>
      </w:r>
    </w:p>
    <w:p w:rsidR="0020052F" w:rsidRDefault="007E09FB">
      <w:bookmarkStart w:id="0" w:name="_GoBack"/>
      <w:bookmarkEnd w:id="0"/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ascii="Times New Roman;serif" w:eastAsia="Times New Roman" w:hAnsi="Times New Roman;serif" w:cs="Times New Roman;serif"/>
          <w:color w:val="000000"/>
          <w:sz w:val="24"/>
          <w:szCs w:val="24"/>
          <w:lang w:eastAsia="ru-RU"/>
        </w:rPr>
        <w:t>Специалист по оборудованию диспетчерского контроля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Техник-наладчик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Техник-наладчик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 xml:space="preserve">- </w:t>
      </w:r>
      <w:r>
        <w:rPr>
          <w:color w:val="000000"/>
          <w:lang w:eastAsia="ru-RU"/>
        </w:rPr>
        <w:t>ГОСТ Р 55963-2014 «Лифты. Диспетчерский контроль»</w:t>
      </w:r>
      <w:r>
        <w:rPr>
          <w:lang w:eastAsia="ru-RU"/>
        </w:rPr>
        <w:t>.</w:t>
      </w:r>
      <w:r>
        <w:rPr>
          <w:lang w:eastAsia="ru-RU"/>
        </w:rPr>
        <w:br/>
        <w:t>- ГОСТ 26.205-88 «Комплексы и устройства телемеханики. Общие технические условия.»</w:t>
      </w:r>
      <w:r>
        <w:rPr>
          <w:lang w:eastAsia="ru-RU"/>
        </w:rPr>
        <w:br/>
        <w:t>- Техническая документация на комплексы и устройства телемеханики.</w:t>
      </w:r>
    </w:p>
    <w:sectPr w:rsidR="0020052F" w:rsidSect="00146067">
      <w:pgSz w:w="11906" w:h="16838"/>
      <w:pgMar w:top="851" w:right="850" w:bottom="1276" w:left="1134" w:header="568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A4" w:rsidRDefault="009C79A4">
      <w:pPr>
        <w:spacing w:after="0" w:line="240" w:lineRule="auto"/>
      </w:pPr>
      <w:r>
        <w:separator/>
      </w:r>
    </w:p>
  </w:endnote>
  <w:endnote w:type="continuationSeparator" w:id="0">
    <w:p w:rsidR="009C79A4" w:rsidRDefault="009C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A4" w:rsidRDefault="009C79A4">
      <w:pPr>
        <w:spacing w:after="0" w:line="240" w:lineRule="auto"/>
      </w:pPr>
      <w:r>
        <w:separator/>
      </w:r>
    </w:p>
  </w:footnote>
  <w:footnote w:type="continuationSeparator" w:id="0">
    <w:p w:rsidR="009C79A4" w:rsidRDefault="009C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7B60"/>
    <w:multiLevelType w:val="multilevel"/>
    <w:tmpl w:val="A41658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EF6"/>
    <w:multiLevelType w:val="multilevel"/>
    <w:tmpl w:val="E0B2CD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3307"/>
    <w:multiLevelType w:val="multilevel"/>
    <w:tmpl w:val="9FBC7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F"/>
    <w:rsid w:val="00146067"/>
    <w:rsid w:val="0020052F"/>
    <w:rsid w:val="00520962"/>
    <w:rsid w:val="007E09FB"/>
    <w:rsid w:val="009C79A4"/>
    <w:rsid w:val="00E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B1618-D6F3-4611-AC11-B549387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rFonts w:ascii="Calibri" w:hAnsi="Calibri"/>
      <w:b/>
      <w:sz w:val="22"/>
      <w:szCs w:val="22"/>
    </w:rPr>
  </w:style>
  <w:style w:type="character" w:customStyle="1" w:styleId="ListLabel20">
    <w:name w:val="ListLabel 20"/>
    <w:qFormat/>
    <w:rPr>
      <w:rFonts w:ascii="Calibri" w:hAnsi="Calibri"/>
      <w:b/>
      <w:sz w:val="22"/>
      <w:szCs w:val="22"/>
    </w:rPr>
  </w:style>
  <w:style w:type="character" w:customStyle="1" w:styleId="ListLabel21">
    <w:name w:val="ListLabel 21"/>
    <w:qFormat/>
    <w:rPr>
      <w:rFonts w:ascii="Calibri" w:hAnsi="Calibri"/>
      <w:b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A7D7F61-8C18-434D-9C09-243EF4D4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3</cp:revision>
  <dcterms:created xsi:type="dcterms:W3CDTF">2022-04-20T09:56:00Z</dcterms:created>
  <dcterms:modified xsi:type="dcterms:W3CDTF">2022-04-20T09:58:00Z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